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BD6" w:rsidRDefault="00CE65F4" w:rsidP="005A78CC">
      <w:r>
        <w:tab/>
      </w:r>
    </w:p>
    <w:p w:rsidR="00CE65F4" w:rsidRPr="00943BD6" w:rsidRDefault="00CE65F4" w:rsidP="00943BD6">
      <w:pPr>
        <w:jc w:val="center"/>
        <w:rPr>
          <w:b/>
        </w:rPr>
      </w:pPr>
      <w:r w:rsidRPr="00943BD6">
        <w:rPr>
          <w:b/>
        </w:rPr>
        <w:t xml:space="preserve">ANÁLISIS PIANO DE LA RED INTERMUNICIPAL DE COOPERACIÓN </w:t>
      </w:r>
      <w:r w:rsidR="00943BD6" w:rsidRPr="00943BD6">
        <w:rPr>
          <w:b/>
        </w:rPr>
        <w:t>INTERNACIONAL E INTERNACIONALIZACIÓN DE CIUDADES - RICII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69"/>
        <w:gridCol w:w="1741"/>
        <w:gridCol w:w="1753"/>
        <w:gridCol w:w="1736"/>
        <w:gridCol w:w="1716"/>
      </w:tblGrid>
      <w:tr w:rsidR="00CE65F4" w:rsidRPr="00943BD6" w:rsidTr="00FD7C13">
        <w:tc>
          <w:tcPr>
            <w:tcW w:w="1795" w:type="dxa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P</w:t>
            </w:r>
          </w:p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Productos</w:t>
            </w:r>
          </w:p>
        </w:tc>
        <w:tc>
          <w:tcPr>
            <w:tcW w:w="1795" w:type="dxa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I</w:t>
            </w:r>
          </w:p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Incentivos</w:t>
            </w:r>
          </w:p>
        </w:tc>
        <w:tc>
          <w:tcPr>
            <w:tcW w:w="1796" w:type="dxa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A</w:t>
            </w:r>
          </w:p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Actores</w:t>
            </w:r>
          </w:p>
        </w:tc>
        <w:tc>
          <w:tcPr>
            <w:tcW w:w="1796" w:type="dxa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N</w:t>
            </w:r>
          </w:p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Negociaciones</w:t>
            </w:r>
          </w:p>
        </w:tc>
        <w:tc>
          <w:tcPr>
            <w:tcW w:w="1796" w:type="dxa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O</w:t>
            </w:r>
          </w:p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Orientación</w:t>
            </w:r>
          </w:p>
        </w:tc>
      </w:tr>
      <w:tr w:rsidR="00CE65F4" w:rsidRPr="00943BD6" w:rsidTr="00FD7C13">
        <w:tc>
          <w:tcPr>
            <w:tcW w:w="8978" w:type="dxa"/>
            <w:gridSpan w:val="5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Estado Actual</w:t>
            </w:r>
          </w:p>
        </w:tc>
      </w:tr>
      <w:tr w:rsidR="00CE65F4" w:rsidRPr="00943BD6" w:rsidTr="00943BD6">
        <w:tc>
          <w:tcPr>
            <w:tcW w:w="1795" w:type="dxa"/>
          </w:tcPr>
          <w:p w:rsidR="00CE65F4" w:rsidRPr="00943BD6" w:rsidRDefault="00943BD6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Vínculo entre los GA</w:t>
            </w:r>
            <w:r w:rsidR="00CE65F4" w:rsidRPr="00943BD6">
              <w:rPr>
                <w:rFonts w:asciiTheme="minorHAnsi" w:hAnsiTheme="minorHAnsi"/>
                <w:sz w:val="18"/>
                <w:szCs w:val="18"/>
              </w:rPr>
              <w:t>DM para fortalecer capacidades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Mejorar la gestión de la</w:t>
            </w:r>
            <w:r w:rsidR="00943BD6" w:rsidRPr="00943BD6">
              <w:rPr>
                <w:rFonts w:asciiTheme="minorHAnsi" w:hAnsiTheme="minorHAnsi"/>
                <w:sz w:val="18"/>
                <w:szCs w:val="18"/>
              </w:rPr>
              <w:t xml:space="preserve"> cooperación internacional en lo</w:t>
            </w:r>
            <w:r w:rsidRPr="00943BD6">
              <w:rPr>
                <w:rFonts w:asciiTheme="minorHAnsi" w:hAnsiTheme="minorHAnsi"/>
                <w:sz w:val="18"/>
                <w:szCs w:val="18"/>
              </w:rPr>
              <w:t>s GADM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Intercambio de experiencias entre los GADM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Agilitar los canales de comunicación a nivel técnico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Intercambio de información para toma de decisiones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Generación de conocimientos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Reconocimiento de la experiencia de los GADM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Adquisición de conocimientos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Involucramiento con distintos actores</w:t>
            </w:r>
          </w:p>
          <w:p w:rsidR="00CE65F4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 xml:space="preserve">- </w:t>
            </w:r>
            <w:r w:rsidR="00CE65F4" w:rsidRPr="00943BD6">
              <w:rPr>
                <w:rFonts w:asciiTheme="minorHAnsi" w:hAnsiTheme="minorHAnsi"/>
                <w:sz w:val="18"/>
                <w:szCs w:val="18"/>
              </w:rPr>
              <w:t>Ampliar oportunidades de cooperación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96" w:type="dxa"/>
            <w:vAlign w:val="center"/>
          </w:tcPr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ACTORES: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GADM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MREMH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Actores del SICD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Gobierno central</w:t>
            </w:r>
          </w:p>
          <w:p w:rsidR="00CE65F4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</w:t>
            </w:r>
            <w:r w:rsidR="00CE65F4" w:rsidRPr="00943BD6">
              <w:rPr>
                <w:rFonts w:asciiTheme="minorHAnsi" w:hAnsiTheme="minorHAnsi"/>
                <w:sz w:val="18"/>
                <w:szCs w:val="18"/>
              </w:rPr>
              <w:t>Actores multinivel (AME, CONGOPE, CONAGOPARE)</w:t>
            </w:r>
          </w:p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E65F4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</w:t>
            </w:r>
            <w:r w:rsidR="00CE65F4" w:rsidRPr="00943BD6">
              <w:rPr>
                <w:rFonts w:asciiTheme="minorHAnsi" w:hAnsiTheme="minorHAnsi"/>
                <w:sz w:val="18"/>
                <w:szCs w:val="18"/>
              </w:rPr>
              <w:t>Posible competencia entre distintos niveles de gobierno</w:t>
            </w:r>
          </w:p>
        </w:tc>
        <w:tc>
          <w:tcPr>
            <w:tcW w:w="1796" w:type="dxa"/>
          </w:tcPr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Coordinación y liderazgo a través de 7 nodos regionales y 1 líder nacional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Liderazgo a 1 solo actor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Manejo técnico y no político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Actualización de información en el SNIM por parte de AME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Compromiso de los actores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Monitoreo y evaluación constante</w:t>
            </w:r>
          </w:p>
          <w:p w:rsidR="00CE65F4" w:rsidRPr="00943BD6" w:rsidRDefault="00943BD6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 xml:space="preserve">- </w:t>
            </w:r>
            <w:r w:rsidR="00CE65F4" w:rsidRPr="00943BD6">
              <w:rPr>
                <w:rFonts w:asciiTheme="minorHAnsi" w:hAnsiTheme="minorHAnsi"/>
                <w:sz w:val="18"/>
                <w:szCs w:val="18"/>
              </w:rPr>
              <w:t>Cumplimiento de expectativas con temas de interés</w:t>
            </w:r>
          </w:p>
        </w:tc>
        <w:tc>
          <w:tcPr>
            <w:tcW w:w="1796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Fortalecer las capacidades y mejorar la gestión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Divergencias a nivel político y protagonismo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</w:t>
            </w:r>
            <w:r w:rsidR="00943BD6" w:rsidRPr="00943BD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943BD6">
              <w:rPr>
                <w:rFonts w:asciiTheme="minorHAnsi" w:hAnsiTheme="minorHAnsi"/>
                <w:sz w:val="18"/>
                <w:szCs w:val="18"/>
              </w:rPr>
              <w:t>Política Institucional</w:t>
            </w:r>
          </w:p>
        </w:tc>
      </w:tr>
      <w:tr w:rsidR="00CE65F4" w:rsidRPr="00943BD6" w:rsidTr="00FD7C13">
        <w:tc>
          <w:tcPr>
            <w:tcW w:w="8978" w:type="dxa"/>
            <w:gridSpan w:val="5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Posibilidades de mejora</w:t>
            </w:r>
          </w:p>
        </w:tc>
      </w:tr>
      <w:tr w:rsidR="00CE65F4" w:rsidRPr="00943BD6" w:rsidTr="00943BD6">
        <w:tc>
          <w:tcPr>
            <w:tcW w:w="1795" w:type="dxa"/>
            <w:vAlign w:val="center"/>
          </w:tcPr>
          <w:p w:rsidR="00943BD6" w:rsidRPr="00943BD6" w:rsidRDefault="00943BD6" w:rsidP="00943BD6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Compromiso de AME para seguimiento a líderes regionales y nacionales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Utilización de TICS para mejorar los canales de comunicación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Impulsar la participación de los actores de la CI. MREMH como actores clave</w:t>
            </w:r>
          </w:p>
          <w:p w:rsidR="00CE65F4" w:rsidRPr="00943BD6" w:rsidRDefault="00CE65F4" w:rsidP="00943BD6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Asistencias técnicas personalizadas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 xml:space="preserve">- </w:t>
            </w:r>
            <w:r w:rsidR="00943BD6" w:rsidRPr="00943BD6">
              <w:rPr>
                <w:rFonts w:asciiTheme="minorHAnsi" w:hAnsiTheme="minorHAnsi"/>
                <w:sz w:val="18"/>
                <w:szCs w:val="18"/>
              </w:rPr>
              <w:t>Intercambios</w:t>
            </w:r>
            <w:r w:rsidRPr="00943BD6">
              <w:rPr>
                <w:rFonts w:asciiTheme="minorHAnsi" w:hAnsiTheme="minorHAnsi"/>
                <w:sz w:val="18"/>
                <w:szCs w:val="18"/>
              </w:rPr>
              <w:t>, pasantías</w:t>
            </w:r>
          </w:p>
        </w:tc>
        <w:tc>
          <w:tcPr>
            <w:tcW w:w="1796" w:type="dxa"/>
            <w:vAlign w:val="center"/>
          </w:tcPr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</w:t>
            </w:r>
            <w:r w:rsidR="00943BD6" w:rsidRPr="00943BD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943BD6">
              <w:rPr>
                <w:rFonts w:asciiTheme="minorHAnsi" w:hAnsiTheme="minorHAnsi"/>
                <w:sz w:val="18"/>
                <w:szCs w:val="18"/>
              </w:rPr>
              <w:t>Empoderamiento de los GADM para cumplimiento de objetivos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No depender de un solo actor generando nuevos líderes</w:t>
            </w:r>
          </w:p>
          <w:p w:rsidR="00943BD6" w:rsidRPr="00943BD6" w:rsidRDefault="00943BD6" w:rsidP="00943BD6">
            <w:pPr>
              <w:rPr>
                <w:rFonts w:asciiTheme="minorHAnsi" w:hAnsiTheme="minorHAnsi"/>
                <w:sz w:val="18"/>
                <w:szCs w:val="18"/>
              </w:rPr>
            </w:pPr>
            <w:bookmarkStart w:id="0" w:name="_GoBack"/>
            <w:bookmarkEnd w:id="0"/>
          </w:p>
          <w:p w:rsidR="00943BD6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96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Normas y políticas para acceso a beneficios de red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 xml:space="preserve">- </w:t>
            </w:r>
            <w:r w:rsidR="00943BD6" w:rsidRPr="00943BD6">
              <w:rPr>
                <w:rFonts w:asciiTheme="minorHAnsi" w:hAnsiTheme="minorHAnsi"/>
                <w:sz w:val="18"/>
                <w:szCs w:val="18"/>
              </w:rPr>
              <w:t>Actualización</w:t>
            </w:r>
            <w:r w:rsidRPr="00943BD6">
              <w:rPr>
                <w:rFonts w:asciiTheme="minorHAnsi" w:hAnsiTheme="minorHAnsi"/>
                <w:sz w:val="18"/>
                <w:szCs w:val="18"/>
              </w:rPr>
              <w:t xml:space="preserve"> de información en herramientas tecnológicas</w:t>
            </w:r>
          </w:p>
        </w:tc>
        <w:tc>
          <w:tcPr>
            <w:tcW w:w="1796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Acuerdos, normas, reglas</w:t>
            </w:r>
          </w:p>
        </w:tc>
      </w:tr>
      <w:tr w:rsidR="00CE65F4" w:rsidRPr="00943BD6" w:rsidTr="00FD7C13">
        <w:tc>
          <w:tcPr>
            <w:tcW w:w="8978" w:type="dxa"/>
            <w:gridSpan w:val="5"/>
          </w:tcPr>
          <w:p w:rsidR="00CE65F4" w:rsidRPr="00943BD6" w:rsidRDefault="00CE65F4" w:rsidP="00FD7C13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943BD6">
              <w:rPr>
                <w:rFonts w:asciiTheme="minorHAnsi" w:hAnsiTheme="minorHAnsi"/>
                <w:b/>
                <w:sz w:val="18"/>
                <w:szCs w:val="18"/>
              </w:rPr>
              <w:t>Medidas</w:t>
            </w:r>
          </w:p>
        </w:tc>
      </w:tr>
      <w:tr w:rsidR="00CE65F4" w:rsidRPr="00943BD6" w:rsidTr="00943BD6">
        <w:tc>
          <w:tcPr>
            <w:tcW w:w="1795" w:type="dxa"/>
          </w:tcPr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Diagnóstico participativo para reactivar la Red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Generar temas de interés municipal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Generación de una agenda de trabajo construida participativamente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Agenda de cooperación</w:t>
            </w: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  <w:p w:rsidR="00CE65F4" w:rsidRPr="00943BD6" w:rsidRDefault="00CE65F4" w:rsidP="00FD7C13">
            <w:pPr>
              <w:jc w:val="both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795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Obtención de financiamiento de actividades</w:t>
            </w:r>
          </w:p>
          <w:p w:rsidR="00CE65F4" w:rsidRPr="00943BD6" w:rsidRDefault="00943BD6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</w:t>
            </w:r>
            <w:r w:rsidR="00CE65F4" w:rsidRPr="00943BD6">
              <w:rPr>
                <w:rFonts w:asciiTheme="minorHAnsi" w:hAnsiTheme="minorHAnsi"/>
                <w:sz w:val="18"/>
                <w:szCs w:val="18"/>
              </w:rPr>
              <w:t>Becas académicas internacionales y nacionales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Reconocimiento de los GAD</w:t>
            </w:r>
          </w:p>
        </w:tc>
        <w:tc>
          <w:tcPr>
            <w:tcW w:w="1796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Mesas de intercambio, talleres, foros</w:t>
            </w:r>
          </w:p>
        </w:tc>
        <w:tc>
          <w:tcPr>
            <w:tcW w:w="1796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Institucionalizar la RED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Generar un modelo de gestión para la cooperación</w:t>
            </w:r>
          </w:p>
        </w:tc>
        <w:tc>
          <w:tcPr>
            <w:tcW w:w="1796" w:type="dxa"/>
            <w:vAlign w:val="center"/>
          </w:tcPr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Tecnificar la red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3BD6">
              <w:rPr>
                <w:rFonts w:asciiTheme="minorHAnsi" w:hAnsiTheme="minorHAnsi"/>
                <w:sz w:val="18"/>
                <w:szCs w:val="18"/>
              </w:rPr>
              <w:t>- Uso de la plataforma</w:t>
            </w:r>
          </w:p>
          <w:p w:rsidR="00CE65F4" w:rsidRPr="00943BD6" w:rsidRDefault="00CE65F4" w:rsidP="00943BD6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E65F4" w:rsidRPr="005A78CC" w:rsidRDefault="00CE65F4" w:rsidP="005A78CC"/>
    <w:sectPr w:rsidR="00CE65F4" w:rsidRPr="005A78CC" w:rsidSect="00866E55">
      <w:headerReference w:type="default" r:id="rId9"/>
      <w:footerReference w:type="default" r:id="rId10"/>
      <w:pgSz w:w="11901" w:h="16840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5475" w:rsidRDefault="00B45475">
      <w:pPr>
        <w:spacing w:after="0" w:line="240" w:lineRule="auto"/>
      </w:pPr>
      <w:r>
        <w:separator/>
      </w:r>
    </w:p>
  </w:endnote>
  <w:endnote w:type="continuationSeparator" w:id="0">
    <w:p w:rsidR="00B45475" w:rsidRDefault="00B45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7333382"/>
      <w:docPartObj>
        <w:docPartGallery w:val="Page Numbers (Bottom of Page)"/>
        <w:docPartUnique/>
      </w:docPartObj>
    </w:sdtPr>
    <w:sdtEndPr/>
    <w:sdtContent>
      <w:p w:rsidR="00A63461" w:rsidRDefault="009B4B0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A21" w:rsidRPr="00AA6A21">
          <w:rPr>
            <w:noProof/>
            <w:lang w:val="es-ES"/>
          </w:rPr>
          <w:t>1</w:t>
        </w:r>
        <w:r>
          <w:fldChar w:fldCharType="end"/>
        </w:r>
      </w:p>
    </w:sdtContent>
  </w:sdt>
  <w:p w:rsidR="00A63461" w:rsidRDefault="00B454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5475" w:rsidRDefault="00B45475">
      <w:pPr>
        <w:spacing w:after="0" w:line="240" w:lineRule="auto"/>
      </w:pPr>
      <w:r>
        <w:separator/>
      </w:r>
    </w:p>
  </w:footnote>
  <w:footnote w:type="continuationSeparator" w:id="0">
    <w:p w:rsidR="00B45475" w:rsidRDefault="00B45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44E" w:rsidRDefault="009B4B05">
    <w:pPr>
      <w:pStyle w:val="Encabezado"/>
    </w:pPr>
    <w:r>
      <w:rPr>
        <w:rFonts w:ascii="Times New Roman" w:eastAsia="Arial Unicode MS" w:hAnsi="Times New Roman" w:cs="Mangal"/>
        <w:noProof/>
        <w:kern w:val="1"/>
        <w:sz w:val="24"/>
        <w:szCs w:val="24"/>
        <w:lang w:eastAsia="es-EC"/>
      </w:rPr>
      <w:drawing>
        <wp:anchor distT="0" distB="0" distL="114300" distR="114300" simplePos="0" relativeHeight="251659264" behindDoc="0" locked="0" layoutInCell="1" allowOverlap="1" wp14:anchorId="2C895119" wp14:editId="2AF903AD">
          <wp:simplePos x="0" y="0"/>
          <wp:positionH relativeFrom="column">
            <wp:posOffset>217805</wp:posOffset>
          </wp:positionH>
          <wp:positionV relativeFrom="paragraph">
            <wp:posOffset>-89535</wp:posOffset>
          </wp:positionV>
          <wp:extent cx="5601970" cy="450850"/>
          <wp:effectExtent l="0" t="0" r="0" b="635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197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AF1"/>
    <w:multiLevelType w:val="hybridMultilevel"/>
    <w:tmpl w:val="310638AC"/>
    <w:lvl w:ilvl="0" w:tplc="30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0EBE389C"/>
    <w:multiLevelType w:val="multilevel"/>
    <w:tmpl w:val="A87AFD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18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F1E694B"/>
    <w:multiLevelType w:val="hybridMultilevel"/>
    <w:tmpl w:val="FE9C6F28"/>
    <w:lvl w:ilvl="0" w:tplc="5AA4C9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FE78E2"/>
    <w:multiLevelType w:val="hybridMultilevel"/>
    <w:tmpl w:val="399A30C4"/>
    <w:lvl w:ilvl="0" w:tplc="573AE0F2">
      <w:start w:val="1"/>
      <w:numFmt w:val="lowerLetter"/>
      <w:lvlText w:val="%1)"/>
      <w:lvlJc w:val="left"/>
      <w:pPr>
        <w:ind w:left="644" w:hanging="360"/>
      </w:pPr>
      <w:rPr>
        <w:rFonts w:ascii="Arial" w:eastAsiaTheme="minorHAnsi" w:hAnsi="Arial" w:cs="Arial"/>
        <w:b w:val="0"/>
      </w:rPr>
    </w:lvl>
    <w:lvl w:ilvl="1" w:tplc="0C0A0019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400716E0"/>
    <w:multiLevelType w:val="hybridMultilevel"/>
    <w:tmpl w:val="A65A4E3C"/>
    <w:lvl w:ilvl="0" w:tplc="A5321336">
      <w:start w:val="1"/>
      <w:numFmt w:val="lowerLetter"/>
      <w:lvlText w:val="%1)"/>
      <w:lvlJc w:val="left"/>
      <w:pPr>
        <w:ind w:left="360" w:hanging="360"/>
      </w:pPr>
      <w:rPr>
        <w:rFonts w:ascii="Arial" w:eastAsia="Calibri" w:hAnsi="Arial" w:cs="Aria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483DD9"/>
    <w:multiLevelType w:val="hybridMultilevel"/>
    <w:tmpl w:val="6CFA34E4"/>
    <w:lvl w:ilvl="0" w:tplc="98988420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299" w:hanging="360"/>
      </w:pPr>
    </w:lvl>
    <w:lvl w:ilvl="2" w:tplc="0C0A001B" w:tentative="1">
      <w:start w:val="1"/>
      <w:numFmt w:val="lowerRoman"/>
      <w:lvlText w:val="%3."/>
      <w:lvlJc w:val="right"/>
      <w:pPr>
        <w:ind w:left="2019" w:hanging="180"/>
      </w:pPr>
    </w:lvl>
    <w:lvl w:ilvl="3" w:tplc="0C0A000F" w:tentative="1">
      <w:start w:val="1"/>
      <w:numFmt w:val="decimal"/>
      <w:lvlText w:val="%4."/>
      <w:lvlJc w:val="left"/>
      <w:pPr>
        <w:ind w:left="2739" w:hanging="360"/>
      </w:pPr>
    </w:lvl>
    <w:lvl w:ilvl="4" w:tplc="0C0A0019" w:tentative="1">
      <w:start w:val="1"/>
      <w:numFmt w:val="lowerLetter"/>
      <w:lvlText w:val="%5."/>
      <w:lvlJc w:val="left"/>
      <w:pPr>
        <w:ind w:left="3459" w:hanging="360"/>
      </w:pPr>
    </w:lvl>
    <w:lvl w:ilvl="5" w:tplc="0C0A001B" w:tentative="1">
      <w:start w:val="1"/>
      <w:numFmt w:val="lowerRoman"/>
      <w:lvlText w:val="%6."/>
      <w:lvlJc w:val="right"/>
      <w:pPr>
        <w:ind w:left="4179" w:hanging="180"/>
      </w:pPr>
    </w:lvl>
    <w:lvl w:ilvl="6" w:tplc="0C0A000F" w:tentative="1">
      <w:start w:val="1"/>
      <w:numFmt w:val="decimal"/>
      <w:lvlText w:val="%7."/>
      <w:lvlJc w:val="left"/>
      <w:pPr>
        <w:ind w:left="4899" w:hanging="360"/>
      </w:pPr>
    </w:lvl>
    <w:lvl w:ilvl="7" w:tplc="0C0A0019" w:tentative="1">
      <w:start w:val="1"/>
      <w:numFmt w:val="lowerLetter"/>
      <w:lvlText w:val="%8."/>
      <w:lvlJc w:val="left"/>
      <w:pPr>
        <w:ind w:left="5619" w:hanging="360"/>
      </w:pPr>
    </w:lvl>
    <w:lvl w:ilvl="8" w:tplc="0C0A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6">
    <w:nsid w:val="546D11C2"/>
    <w:multiLevelType w:val="hybridMultilevel"/>
    <w:tmpl w:val="C2C454DE"/>
    <w:lvl w:ilvl="0" w:tplc="3752940C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Arial" w:hint="default"/>
        <w:b/>
        <w:sz w:val="2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E52E6E"/>
    <w:multiLevelType w:val="hybridMultilevel"/>
    <w:tmpl w:val="466C1DEE"/>
    <w:lvl w:ilvl="0" w:tplc="AF54CF74">
      <w:start w:val="1"/>
      <w:numFmt w:val="decimal"/>
      <w:lvlText w:val="%1."/>
      <w:lvlJc w:val="left"/>
      <w:pPr>
        <w:ind w:left="644" w:hanging="360"/>
      </w:pPr>
      <w:rPr>
        <w:b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787E7E"/>
    <w:multiLevelType w:val="hybridMultilevel"/>
    <w:tmpl w:val="905EFB70"/>
    <w:lvl w:ilvl="0" w:tplc="F90A8F0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785" w:hanging="360"/>
      </w:pPr>
    </w:lvl>
    <w:lvl w:ilvl="2" w:tplc="300A001B" w:tentative="1">
      <w:start w:val="1"/>
      <w:numFmt w:val="lowerRoman"/>
      <w:lvlText w:val="%3."/>
      <w:lvlJc w:val="right"/>
      <w:pPr>
        <w:ind w:left="2505" w:hanging="180"/>
      </w:pPr>
    </w:lvl>
    <w:lvl w:ilvl="3" w:tplc="300A000F" w:tentative="1">
      <w:start w:val="1"/>
      <w:numFmt w:val="decimal"/>
      <w:lvlText w:val="%4."/>
      <w:lvlJc w:val="left"/>
      <w:pPr>
        <w:ind w:left="3225" w:hanging="360"/>
      </w:pPr>
    </w:lvl>
    <w:lvl w:ilvl="4" w:tplc="300A0019" w:tentative="1">
      <w:start w:val="1"/>
      <w:numFmt w:val="lowerLetter"/>
      <w:lvlText w:val="%5."/>
      <w:lvlJc w:val="left"/>
      <w:pPr>
        <w:ind w:left="3945" w:hanging="360"/>
      </w:pPr>
    </w:lvl>
    <w:lvl w:ilvl="5" w:tplc="300A001B" w:tentative="1">
      <w:start w:val="1"/>
      <w:numFmt w:val="lowerRoman"/>
      <w:lvlText w:val="%6."/>
      <w:lvlJc w:val="right"/>
      <w:pPr>
        <w:ind w:left="4665" w:hanging="180"/>
      </w:pPr>
    </w:lvl>
    <w:lvl w:ilvl="6" w:tplc="300A000F" w:tentative="1">
      <w:start w:val="1"/>
      <w:numFmt w:val="decimal"/>
      <w:lvlText w:val="%7."/>
      <w:lvlJc w:val="left"/>
      <w:pPr>
        <w:ind w:left="5385" w:hanging="360"/>
      </w:pPr>
    </w:lvl>
    <w:lvl w:ilvl="7" w:tplc="300A0019" w:tentative="1">
      <w:start w:val="1"/>
      <w:numFmt w:val="lowerLetter"/>
      <w:lvlText w:val="%8."/>
      <w:lvlJc w:val="left"/>
      <w:pPr>
        <w:ind w:left="6105" w:hanging="360"/>
      </w:pPr>
    </w:lvl>
    <w:lvl w:ilvl="8" w:tplc="30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66B57F9E"/>
    <w:multiLevelType w:val="hybridMultilevel"/>
    <w:tmpl w:val="61A69532"/>
    <w:lvl w:ilvl="0" w:tplc="D6226A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3E391B"/>
    <w:multiLevelType w:val="hybridMultilevel"/>
    <w:tmpl w:val="31C0155C"/>
    <w:lvl w:ilvl="0" w:tplc="BCB0298C">
      <w:start w:val="1"/>
      <w:numFmt w:val="lowerLetter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0"/>
  </w:num>
  <w:num w:numId="7">
    <w:abstractNumId w:val="6"/>
  </w:num>
  <w:num w:numId="8">
    <w:abstractNumId w:val="2"/>
  </w:num>
  <w:num w:numId="9">
    <w:abstractNumId w:val="7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45F"/>
    <w:rsid w:val="00013634"/>
    <w:rsid w:val="00031E54"/>
    <w:rsid w:val="00035F15"/>
    <w:rsid w:val="00045F43"/>
    <w:rsid w:val="00056A05"/>
    <w:rsid w:val="000B52DB"/>
    <w:rsid w:val="000B7016"/>
    <w:rsid w:val="000C25A8"/>
    <w:rsid w:val="000D3A46"/>
    <w:rsid w:val="000D3EF5"/>
    <w:rsid w:val="000D640E"/>
    <w:rsid w:val="001272D1"/>
    <w:rsid w:val="001614BC"/>
    <w:rsid w:val="00187557"/>
    <w:rsid w:val="0019057C"/>
    <w:rsid w:val="001A1C1F"/>
    <w:rsid w:val="001B27AA"/>
    <w:rsid w:val="001D6A69"/>
    <w:rsid w:val="001E3A51"/>
    <w:rsid w:val="001F372A"/>
    <w:rsid w:val="001F3F06"/>
    <w:rsid w:val="001F5953"/>
    <w:rsid w:val="00205CB4"/>
    <w:rsid w:val="0022358A"/>
    <w:rsid w:val="0028565D"/>
    <w:rsid w:val="002B5CC2"/>
    <w:rsid w:val="00316B81"/>
    <w:rsid w:val="003336A4"/>
    <w:rsid w:val="0033592C"/>
    <w:rsid w:val="00335ED6"/>
    <w:rsid w:val="003566F2"/>
    <w:rsid w:val="003611C4"/>
    <w:rsid w:val="003652D2"/>
    <w:rsid w:val="00373554"/>
    <w:rsid w:val="00397B06"/>
    <w:rsid w:val="003B7BB7"/>
    <w:rsid w:val="00402B3A"/>
    <w:rsid w:val="004333E0"/>
    <w:rsid w:val="00435B36"/>
    <w:rsid w:val="00440CF4"/>
    <w:rsid w:val="00473C3A"/>
    <w:rsid w:val="00474A48"/>
    <w:rsid w:val="00475D4C"/>
    <w:rsid w:val="0049731F"/>
    <w:rsid w:val="004A6365"/>
    <w:rsid w:val="004A67F4"/>
    <w:rsid w:val="004C490F"/>
    <w:rsid w:val="004E62E9"/>
    <w:rsid w:val="00514DFC"/>
    <w:rsid w:val="005711CB"/>
    <w:rsid w:val="00576ACF"/>
    <w:rsid w:val="005A60A9"/>
    <w:rsid w:val="005A78CC"/>
    <w:rsid w:val="005F0BB5"/>
    <w:rsid w:val="00612442"/>
    <w:rsid w:val="00622882"/>
    <w:rsid w:val="00627339"/>
    <w:rsid w:val="00644917"/>
    <w:rsid w:val="0064714E"/>
    <w:rsid w:val="0066320E"/>
    <w:rsid w:val="00666961"/>
    <w:rsid w:val="006A3CA1"/>
    <w:rsid w:val="006B3B35"/>
    <w:rsid w:val="006C6C8D"/>
    <w:rsid w:val="006D26EB"/>
    <w:rsid w:val="006F05EE"/>
    <w:rsid w:val="00716E8D"/>
    <w:rsid w:val="00731E09"/>
    <w:rsid w:val="007347A4"/>
    <w:rsid w:val="00760F48"/>
    <w:rsid w:val="0076145F"/>
    <w:rsid w:val="0076198A"/>
    <w:rsid w:val="00765224"/>
    <w:rsid w:val="007744B8"/>
    <w:rsid w:val="007A6080"/>
    <w:rsid w:val="007B0919"/>
    <w:rsid w:val="007C3B9B"/>
    <w:rsid w:val="007F15C5"/>
    <w:rsid w:val="007F465C"/>
    <w:rsid w:val="007F4DD7"/>
    <w:rsid w:val="00866E55"/>
    <w:rsid w:val="008A1FB5"/>
    <w:rsid w:val="008B0AF6"/>
    <w:rsid w:val="008C3169"/>
    <w:rsid w:val="008D0231"/>
    <w:rsid w:val="00943BD6"/>
    <w:rsid w:val="00952F00"/>
    <w:rsid w:val="009709E1"/>
    <w:rsid w:val="00971EE1"/>
    <w:rsid w:val="009A1264"/>
    <w:rsid w:val="009B4B05"/>
    <w:rsid w:val="009B5009"/>
    <w:rsid w:val="009C016D"/>
    <w:rsid w:val="00A00DB6"/>
    <w:rsid w:val="00A53624"/>
    <w:rsid w:val="00A91ACB"/>
    <w:rsid w:val="00AA3CB3"/>
    <w:rsid w:val="00AA6A21"/>
    <w:rsid w:val="00AB0A3F"/>
    <w:rsid w:val="00AE50FE"/>
    <w:rsid w:val="00B35B5D"/>
    <w:rsid w:val="00B3609B"/>
    <w:rsid w:val="00B45475"/>
    <w:rsid w:val="00BA1E31"/>
    <w:rsid w:val="00BD0378"/>
    <w:rsid w:val="00BF6B3C"/>
    <w:rsid w:val="00C32644"/>
    <w:rsid w:val="00C5317A"/>
    <w:rsid w:val="00C805FB"/>
    <w:rsid w:val="00CA5804"/>
    <w:rsid w:val="00CC78BE"/>
    <w:rsid w:val="00CE65F4"/>
    <w:rsid w:val="00D11522"/>
    <w:rsid w:val="00D2393C"/>
    <w:rsid w:val="00D326AD"/>
    <w:rsid w:val="00D33C6E"/>
    <w:rsid w:val="00D5212E"/>
    <w:rsid w:val="00D611E3"/>
    <w:rsid w:val="00D719C9"/>
    <w:rsid w:val="00D76DD8"/>
    <w:rsid w:val="00D80758"/>
    <w:rsid w:val="00DA2F8E"/>
    <w:rsid w:val="00DA473B"/>
    <w:rsid w:val="00DA6C2F"/>
    <w:rsid w:val="00DB7F4B"/>
    <w:rsid w:val="00DC1090"/>
    <w:rsid w:val="00E467D8"/>
    <w:rsid w:val="00ED418A"/>
    <w:rsid w:val="00EE02CD"/>
    <w:rsid w:val="00EE7510"/>
    <w:rsid w:val="00F01D45"/>
    <w:rsid w:val="00F077DD"/>
    <w:rsid w:val="00F12ED1"/>
    <w:rsid w:val="00F15035"/>
    <w:rsid w:val="00F20AF7"/>
    <w:rsid w:val="00F81019"/>
    <w:rsid w:val="00F842F1"/>
    <w:rsid w:val="00FB0B7B"/>
    <w:rsid w:val="00FB3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5F4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76145F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6145F"/>
  </w:style>
  <w:style w:type="paragraph" w:styleId="Encabezado">
    <w:name w:val="header"/>
    <w:basedOn w:val="Normal"/>
    <w:link w:val="EncabezadoCar"/>
    <w:uiPriority w:val="99"/>
    <w:unhideWhenUsed/>
    <w:rsid w:val="007614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45F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7614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45F"/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804"/>
    <w:rPr>
      <w:rFonts w:ascii="Tahoma" w:hAnsi="Tahoma" w:cs="Tahoma"/>
      <w:sz w:val="16"/>
      <w:szCs w:val="16"/>
      <w:lang w:val="es-E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31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169"/>
    <w:rPr>
      <w:sz w:val="20"/>
      <w:szCs w:val="20"/>
      <w:lang w:val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8C3169"/>
    <w:rPr>
      <w:vertAlign w:val="superscript"/>
    </w:rPr>
  </w:style>
  <w:style w:type="table" w:styleId="Tablaconcuadrcula">
    <w:name w:val="Table Grid"/>
    <w:basedOn w:val="Tablanormal"/>
    <w:uiPriority w:val="59"/>
    <w:rsid w:val="00473C3A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1272D1"/>
    <w:rPr>
      <w:lang w:val="es-EC"/>
    </w:rPr>
  </w:style>
  <w:style w:type="paragraph" w:styleId="Sinespaciado">
    <w:name w:val="No Spacing"/>
    <w:uiPriority w:val="1"/>
    <w:qFormat/>
    <w:rsid w:val="0076198A"/>
    <w:pPr>
      <w:spacing w:after="0" w:line="240" w:lineRule="auto"/>
    </w:pPr>
    <w:rPr>
      <w:lang w:val="es-EC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5F4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76145F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76145F"/>
  </w:style>
  <w:style w:type="paragraph" w:styleId="Encabezado">
    <w:name w:val="header"/>
    <w:basedOn w:val="Normal"/>
    <w:link w:val="EncabezadoCar"/>
    <w:uiPriority w:val="99"/>
    <w:unhideWhenUsed/>
    <w:rsid w:val="007614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145F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7614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145F"/>
    <w:rPr>
      <w:lang w:val="es-E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5804"/>
    <w:rPr>
      <w:rFonts w:ascii="Tahoma" w:hAnsi="Tahoma" w:cs="Tahoma"/>
      <w:sz w:val="16"/>
      <w:szCs w:val="16"/>
      <w:lang w:val="es-EC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C316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C3169"/>
    <w:rPr>
      <w:sz w:val="20"/>
      <w:szCs w:val="20"/>
      <w:lang w:val="es-EC"/>
    </w:rPr>
  </w:style>
  <w:style w:type="character" w:styleId="Refdenotaalpie">
    <w:name w:val="footnote reference"/>
    <w:basedOn w:val="Fuentedeprrafopredeter"/>
    <w:uiPriority w:val="99"/>
    <w:semiHidden/>
    <w:unhideWhenUsed/>
    <w:rsid w:val="008C3169"/>
    <w:rPr>
      <w:vertAlign w:val="superscript"/>
    </w:rPr>
  </w:style>
  <w:style w:type="table" w:styleId="Tablaconcuadrcula">
    <w:name w:val="Table Grid"/>
    <w:basedOn w:val="Tablanormal"/>
    <w:uiPriority w:val="59"/>
    <w:rsid w:val="00473C3A"/>
    <w:pPr>
      <w:spacing w:after="0" w:line="240" w:lineRule="auto"/>
    </w:pPr>
    <w:rPr>
      <w:rFonts w:ascii="Calibri" w:eastAsia="Calibri" w:hAnsi="Calibri" w:cs="Times New Roman"/>
      <w:sz w:val="20"/>
      <w:szCs w:val="20"/>
      <w:lang w:val="es-EC" w:eastAsia="es-EC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rafodelistaCar">
    <w:name w:val="Párrafo de lista Car"/>
    <w:link w:val="Prrafodelista"/>
    <w:uiPriority w:val="34"/>
    <w:locked/>
    <w:rsid w:val="001272D1"/>
    <w:rPr>
      <w:lang w:val="es-EC"/>
    </w:rPr>
  </w:style>
  <w:style w:type="paragraph" w:styleId="Sinespaciado">
    <w:name w:val="No Spacing"/>
    <w:uiPriority w:val="1"/>
    <w:qFormat/>
    <w:rsid w:val="0076198A"/>
    <w:pPr>
      <w:spacing w:after="0" w:line="240" w:lineRule="auto"/>
    </w:pPr>
    <w:rPr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B18DC-A58E-4442-9A20-57CB9A68C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Johanna Herrera Camacho</dc:creator>
  <cp:lastModifiedBy>Jennifer Katherine Ortiz Lara</cp:lastModifiedBy>
  <cp:revision>3</cp:revision>
  <cp:lastPrinted>2017-03-31T20:42:00Z</cp:lastPrinted>
  <dcterms:created xsi:type="dcterms:W3CDTF">2017-03-31T20:28:00Z</dcterms:created>
  <dcterms:modified xsi:type="dcterms:W3CDTF">2017-04-03T19:42:00Z</dcterms:modified>
</cp:coreProperties>
</file>